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9</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3" w:name="_GoBack"/>
      <w:bookmarkEnd w:id="3"/>
      <w:r>
        <w:rPr>
          <w:rFonts w:hint="eastAsia" w:ascii="Arial" w:hAnsi="Arial" w:cs="Arial"/>
          <w:b/>
          <w:sz w:val="24"/>
          <w:szCs w:val="24"/>
        </w:rPr>
        <w:t xml:space="preserve"> R4-2319535</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lang w:val="en-US" w:eastAsia="zh-CN"/>
        </w:rPr>
        <w:t>Chicago, USA, Nov 13 – Nov 17, 2023</w:t>
      </w: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for PDSCH demodulation requirements for 8Rx CA</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8.3.3.1.2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numPr>
          <w:ilvl w:val="0"/>
          <w:numId w:val="0"/>
        </w:numPr>
        <w:kinsoku/>
        <w:wordWrap/>
        <w:topLinePunct w:val="0"/>
        <w:bidi w:val="0"/>
        <w:spacing w:after="0"/>
        <w:rPr>
          <w:rFonts w:hint="eastAsia" w:cs="Times New Roman"/>
          <w:kern w:val="2"/>
          <w:sz w:val="21"/>
          <w:szCs w:val="22"/>
          <w:highlight w:val="none"/>
          <w:lang w:val="en-US" w:eastAsia="zh-CN" w:bidi="ar-SA"/>
        </w:rPr>
      </w:pPr>
      <w:r>
        <w:rPr>
          <w:rFonts w:hint="eastAsia"/>
          <w:lang w:val="en-US" w:eastAsia="zh-CN"/>
        </w:rPr>
        <w:t>In RAN4#108bis meeting, 8Rx UE demodulation and CSI requirements were discussed and a WF was agreed[1]. In this paper, we will provide our simulation results on 8Rx PDSCH CA for FR1.</w:t>
      </w:r>
    </w:p>
    <w:p>
      <w:pPr>
        <w:widowControl w:val="0"/>
        <w:pBdr>
          <w:top w:val="single" w:color="auto" w:sz="12" w:space="3"/>
        </w:pBdr>
        <w:spacing w:beforeLines="0" w:afterLines="0"/>
        <w:jc w:val="left"/>
        <w:outlineLvl w:val="0"/>
        <w:rPr>
          <w:rFonts w:hint="eastAsia"/>
          <w:sz w:val="22"/>
          <w:szCs w:val="22"/>
          <w:lang w:val="en-US" w:eastAsia="zh-CN"/>
        </w:rPr>
      </w:pPr>
      <w:r>
        <w:rPr>
          <w:rFonts w:hint="eastAsia"/>
          <w:b/>
          <w:kern w:val="0"/>
          <w:sz w:val="24"/>
          <w:szCs w:val="24"/>
        </w:rPr>
        <w:t xml:space="preserve">2 </w:t>
      </w:r>
      <w:r>
        <w:rPr>
          <w:b/>
          <w:kern w:val="0"/>
          <w:sz w:val="24"/>
          <w:szCs w:val="24"/>
        </w:rPr>
        <w:t>Discussion</w:t>
      </w:r>
      <w:r>
        <w:rPr>
          <w:rFonts w:hint="default" w:cs="Times New Roman"/>
          <w:b w:val="0"/>
          <w:bCs w:val="0"/>
          <w:kern w:val="0"/>
          <w:sz w:val="21"/>
          <w:szCs w:val="21"/>
          <w:highlight w:val="none"/>
          <w:lang w:val="en-US" w:eastAsia="zh-CN"/>
        </w:rPr>
        <w:t xml:space="preserve"> </w:t>
      </w:r>
    </w:p>
    <w:p>
      <w:pPr>
        <w:numPr>
          <w:ilvl w:val="1"/>
          <w:numId w:val="0"/>
        </w:numPr>
        <w:ind w:leftChars="0" w:right="210" w:rightChars="100"/>
        <w:outlineLvl w:val="9"/>
        <w:rPr>
          <w:rFonts w:hint="eastAsia"/>
          <w:b/>
          <w:bCs/>
          <w:sz w:val="24"/>
          <w:szCs w:val="24"/>
          <w:lang w:val="en-US" w:eastAsia="zh-CN"/>
        </w:rPr>
      </w:pPr>
      <w:r>
        <w:rPr>
          <w:rFonts w:hint="eastAsia"/>
          <w:b/>
          <w:bCs/>
          <w:sz w:val="24"/>
          <w:szCs w:val="24"/>
          <w:lang w:val="en-US" w:eastAsia="zh-CN"/>
        </w:rPr>
        <w:t>2.2 Simulation results</w:t>
      </w:r>
    </w:p>
    <w:p>
      <w:pPr>
        <w:numPr>
          <w:ilvl w:val="1"/>
          <w:numId w:val="0"/>
        </w:numPr>
        <w:ind w:leftChars="0" w:right="210" w:rightChars="100"/>
        <w:outlineLvl w:val="9"/>
        <w:rPr>
          <w:rFonts w:hint="default" w:cs="Times New Roman"/>
          <w:b w:val="0"/>
          <w:bCs w:val="0"/>
          <w:kern w:val="0"/>
          <w:sz w:val="21"/>
          <w:szCs w:val="21"/>
          <w:highlight w:val="none"/>
          <w:lang w:val="en-US" w:eastAsia="zh-CN"/>
        </w:rPr>
      </w:pPr>
      <w:r>
        <w:rPr>
          <w:rFonts w:hint="default" w:cs="Times New Roman"/>
          <w:b w:val="0"/>
          <w:bCs w:val="0"/>
          <w:kern w:val="0"/>
          <w:sz w:val="21"/>
          <w:szCs w:val="21"/>
          <w:highlight w:val="none"/>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w:t>
      </w:r>
      <w:r>
        <w:rPr>
          <w:rFonts w:hint="eastAsia" w:cs="Times New Roman"/>
          <w:b w:val="0"/>
          <w:bCs w:val="0"/>
          <w:kern w:val="0"/>
          <w:sz w:val="21"/>
          <w:szCs w:val="21"/>
          <w:highlight w:val="none"/>
          <w:lang w:val="en-US" w:eastAsia="zh-CN"/>
        </w:rPr>
        <w:t>following Tables</w:t>
      </w:r>
      <w:r>
        <w:rPr>
          <w:rFonts w:hint="default" w:cs="Times New Roman"/>
          <w:b w:val="0"/>
          <w:bCs w:val="0"/>
          <w:kern w:val="0"/>
          <w:sz w:val="21"/>
          <w:szCs w:val="21"/>
          <w:highlight w:val="none"/>
          <w:lang w:val="en-US" w:eastAsia="zh-CN"/>
        </w:rPr>
        <w:t>.</w:t>
      </w:r>
    </w:p>
    <w:p>
      <w:pPr>
        <w:numPr>
          <w:ilvl w:val="1"/>
          <w:numId w:val="0"/>
        </w:numPr>
        <w:ind w:leftChars="0" w:right="210" w:rightChars="100"/>
        <w:outlineLvl w:val="9"/>
        <w:rPr>
          <w:rFonts w:hint="default"/>
          <w:sz w:val="22"/>
          <w:szCs w:val="22"/>
          <w:lang w:val="en-US" w:eastAsia="zh-CN"/>
        </w:rPr>
      </w:pPr>
      <w:r>
        <w:rPr>
          <w:rFonts w:hint="eastAsia"/>
          <w:sz w:val="22"/>
          <w:szCs w:val="22"/>
          <w:lang w:val="en-US" w:eastAsia="zh-CN"/>
        </w:rPr>
        <w:t>2.2.1 PDSCH CA requirements</w:t>
      </w:r>
    </w:p>
    <w:p>
      <w:pPr>
        <w:numPr>
          <w:ilvl w:val="1"/>
          <w:numId w:val="0"/>
        </w:numPr>
        <w:ind w:leftChars="0" w:right="210" w:rightChars="100"/>
        <w:outlineLvl w:val="9"/>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And for 8Rx CA, we also did some simulations as shown in following Table 2-1 and Table 2-2 which covered MCS 19(Table 1) for rank 2 and MCS 17(Table 1) for rank 8.</w:t>
      </w: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2-1. Single carrier performance for FDD 15 kHz SCS with Rank 2 for CA configurations</w:t>
      </w:r>
    </w:p>
    <w:tbl>
      <w:tblPr>
        <w:tblStyle w:val="22"/>
        <w:tblW w:w="43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503"/>
        <w:gridCol w:w="1477"/>
        <w:gridCol w:w="1676"/>
        <w:gridCol w:w="1878"/>
        <w:gridCol w:w="1313"/>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91" w:hRule="atLeast"/>
          <w:jc w:val="center"/>
        </w:trPr>
        <w:tc>
          <w:tcPr>
            <w:tcW w:w="878"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863"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97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1097"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182" w:type="pct"/>
            <w:gridSpan w:val="2"/>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24" w:hRule="atLeast"/>
          <w:jc w:val="center"/>
        </w:trPr>
        <w:tc>
          <w:tcPr>
            <w:tcW w:w="878"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63"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97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1097"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767"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414"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863" w:type="pct"/>
            <w:shd w:val="clear" w:color="auto" w:fill="FFFFFF"/>
            <w:vAlign w:val="center"/>
          </w:tcPr>
          <w:p>
            <w:pPr>
              <w:keepNext/>
              <w:keepLines/>
              <w:spacing w:after="0"/>
              <w:jc w:val="center"/>
              <w:rPr>
                <w:rFonts w:hint="default" w:ascii="Arial" w:hAnsi="Arial" w:eastAsia="Times New Roman" w:cs="Arial"/>
                <w:sz w:val="15"/>
                <w:szCs w:val="15"/>
                <w:lang w:val="en-US"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35</w:t>
            </w:r>
          </w:p>
        </w:tc>
        <w:tc>
          <w:tcPr>
            <w:tcW w:w="86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eastAsia="宋体" w:cs="Times New Roman"/>
                <w:sz w:val="15"/>
                <w:szCs w:val="15"/>
                <w:lang w:val="en-US" w:eastAsia="zh-CN" w:bidi="ar-SA"/>
              </w:rPr>
              <w:t>40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cs="Times New Roman"/>
                <w:sz w:val="15"/>
                <w:szCs w:val="15"/>
                <w:lang w:val="en-US" w:eastAsia="zh-CN" w:bidi="ar-SA"/>
              </w:rPr>
              <w:t>45</w:t>
            </w:r>
          </w:p>
        </w:tc>
        <w:tc>
          <w:tcPr>
            <w:tcW w:w="863" w:type="pct"/>
            <w:shd w:val="clear" w:color="auto" w:fill="FFFFFF"/>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70</w:t>
            </w:r>
          </w:p>
        </w:tc>
        <w:tc>
          <w:tcPr>
            <w:tcW w:w="414" w:type="pct"/>
            <w:shd w:val="clear" w:color="auto" w:fill="FFFFFF"/>
            <w:vAlign w:val="center"/>
          </w:tcPr>
          <w:p>
            <w:pPr>
              <w:keepNext/>
              <w:keepLines/>
              <w:spacing w:after="0"/>
              <w:jc w:val="center"/>
              <w:rPr>
                <w:rFonts w:hint="eastAsia" w:ascii="Arial" w:hAnsi="Arial" w:cs="Arial"/>
                <w:sz w:val="15"/>
                <w:szCs w:val="15"/>
                <w:lang w:val="en-US" w:eastAsia="zh-CN" w:bidi="ar-SA"/>
              </w:rPr>
            </w:pPr>
            <w:r>
              <w:rPr>
                <w:rFonts w:hint="eastAsia" w:ascii="Arial" w:hAnsi="Arial"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50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10.9</w:t>
            </w:r>
          </w:p>
        </w:tc>
      </w:tr>
    </w:tbl>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2-2. Single carrier performance for TDD 30 kHz SCS with Rank 2 for CA configurations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06"/>
        <w:gridCol w:w="1376"/>
        <w:gridCol w:w="1563"/>
        <w:gridCol w:w="1875"/>
        <w:gridCol w:w="1084"/>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89"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Times New Roman"/>
                <w:b/>
                <w:sz w:val="18"/>
                <w:lang w:val="en-GB" w:eastAsia="en-US" w:bidi="ar-SA"/>
              </w:rPr>
              <w:t xml:space="preserve">Bandwidth (MHz) </w:t>
            </w:r>
          </w:p>
        </w:tc>
        <w:tc>
          <w:tcPr>
            <w:tcW w:w="870" w:type="pct"/>
            <w:vMerge w:val="restart"/>
            <w:shd w:val="clear" w:color="auto" w:fill="FFFFFF"/>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Modulation format</w:t>
            </w:r>
            <w:r>
              <w:rPr>
                <w:rFonts w:hint="eastAsia" w:ascii="Arial" w:hAnsi="Arial" w:eastAsia="Times New Roman" w:cs="Arial"/>
                <w:b/>
                <w:sz w:val="18"/>
                <w:lang w:val="en-GB" w:eastAsia="zh-CN" w:bidi="ar-SA"/>
              </w:rPr>
              <w:t xml:space="preserve"> and code rate</w:t>
            </w:r>
          </w:p>
        </w:tc>
        <w:tc>
          <w:tcPr>
            <w:tcW w:w="988"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Propagation condition</w:t>
            </w:r>
          </w:p>
        </w:tc>
        <w:tc>
          <w:tcPr>
            <w:tcW w:w="1185"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Correlation matrix and antenna configuration</w:t>
            </w:r>
          </w:p>
        </w:tc>
        <w:tc>
          <w:tcPr>
            <w:tcW w:w="1065" w:type="pct"/>
            <w:gridSpan w:val="2"/>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89"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70" w:type="pct"/>
            <w:vMerge w:val="continue"/>
            <w:shd w:val="clear" w:color="auto" w:fill="FFFFFF"/>
          </w:tcPr>
          <w:p>
            <w:pPr>
              <w:keepNext/>
              <w:keepLines/>
              <w:spacing w:after="0"/>
              <w:jc w:val="center"/>
              <w:rPr>
                <w:rFonts w:ascii="Arial" w:hAnsi="Arial" w:eastAsia="Times New Roman" w:cs="Arial"/>
                <w:b/>
                <w:sz w:val="18"/>
                <w:lang w:val="en-GB" w:eastAsia="en-US" w:bidi="ar-SA"/>
              </w:rPr>
            </w:pPr>
          </w:p>
        </w:tc>
        <w:tc>
          <w:tcPr>
            <w:tcW w:w="988"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1185"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685"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Fraction of maximum throughput (%)</w:t>
            </w:r>
          </w:p>
        </w:tc>
        <w:tc>
          <w:tcPr>
            <w:tcW w:w="380"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5</w:t>
            </w:r>
          </w:p>
        </w:tc>
        <w:tc>
          <w:tcPr>
            <w:tcW w:w="870" w:type="pct"/>
            <w:shd w:val="clear" w:color="auto" w:fill="FFFFFF"/>
          </w:tcPr>
          <w:p>
            <w:pPr>
              <w:keepNext/>
              <w:keepLines/>
              <w:spacing w:after="0"/>
              <w:jc w:val="center"/>
              <w:rPr>
                <w:rFonts w:ascii="Arial" w:hAnsi="Arial" w:eastAsia="Times New Roman" w:cs="Arial"/>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hint="eastAsia" w:ascii="Arial" w:hAnsi="Arial" w:eastAsia="宋体" w:cs="Arial"/>
                <w:sz w:val="18"/>
                <w:lang w:val="en-US" w:eastAsia="zh-CN"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cs="Arial"/>
                <w:sz w:val="18"/>
                <w:lang w:val="en-US" w:eastAsia="zh-CN" w:bidi="ar-SA"/>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cs="Arial"/>
                <w:sz w:val="18"/>
                <w:lang w:val="en-US" w:eastAsia="zh-CN" w:bidi="ar-SA"/>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both"/>
              <w:rPr>
                <w:rFonts w:hint="default" w:ascii="Arial" w:hAnsi="Arial" w:eastAsia="宋体" w:cs="Arial"/>
                <w:sz w:val="18"/>
                <w:lang w:val="en-US" w:eastAsia="zh-CN" w:bidi="ar-SA"/>
              </w:rPr>
            </w:pPr>
            <w:r>
              <w:rPr>
                <w:rFonts w:hint="eastAsia" w:ascii="Arial" w:hAnsi="Arial" w:cs="Arial"/>
                <w:sz w:val="18"/>
                <w:lang w:val="en-US" w:eastAsia="zh-CN" w:bidi="ar-SA"/>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hint="eastAsia" w:ascii="Arial" w:hAnsi="Arial" w:eastAsia="宋体" w:cs="Arial"/>
                <w:sz w:val="18"/>
                <w:lang w:val="en-US" w:eastAsia="zh-CN"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cs="Arial"/>
                <w:sz w:val="18"/>
                <w:lang w:val="en-US" w:eastAsia="zh-CN" w:bidi="ar-SA"/>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30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both"/>
              <w:rPr>
                <w:rFonts w:ascii="Arial" w:hAnsi="Arial" w:eastAsia="宋体"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cs="Arial"/>
                <w:sz w:val="18"/>
                <w:lang w:val="en-US" w:eastAsia="zh-CN" w:bidi="ar-SA"/>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lang w:val="en-GB" w:eastAsia="en-US" w:bidi="ar-SA"/>
              </w:rPr>
              <w:t>40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cs="Arial"/>
                <w:sz w:val="18"/>
                <w:lang w:val="en-US" w:eastAsia="zh-CN" w:bidi="ar-SA"/>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50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cs="Arial"/>
                <w:sz w:val="18"/>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60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Arial"/>
                <w:sz w:val="18"/>
                <w:lang w:val="en-GB" w:eastAsia="en-US" w:bidi="ar-SA"/>
              </w:rPr>
              <w:t>64QAM, 0.50</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cs="Arial"/>
                <w:sz w:val="18"/>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US" w:eastAsia="zh-CN" w:bidi="ar-SA"/>
              </w:rPr>
              <w:t>70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Times New Roman" w:cs="Arial"/>
                <w:sz w:val="18"/>
                <w:lang w:val="en-GB" w:eastAsia="en-US" w:bidi="ar-SA"/>
              </w:rPr>
              <w:t>64QAM, 0.50</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both"/>
              <w:rPr>
                <w:rFonts w:hint="eastAsia" w:ascii="Arial" w:hAnsi="Arial" w:eastAsia="宋体" w:cs="Arial"/>
                <w:kern w:val="2"/>
                <w:sz w:val="18"/>
                <w:lang w:val="en-US" w:eastAsia="zh-CN"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both"/>
              <w:rPr>
                <w:rFonts w:hint="default" w:ascii="Arial" w:hAnsi="Arial" w:eastAsia="Times New Roman" w:cs="Arial"/>
                <w:kern w:val="2"/>
                <w:sz w:val="18"/>
                <w:lang w:val="en-US" w:eastAsia="zh-CN" w:bidi="ar-SA"/>
              </w:rPr>
            </w:pPr>
            <w:r>
              <w:rPr>
                <w:rFonts w:hint="eastAsia" w:ascii="Arial" w:hAnsi="Arial" w:eastAsia="Times New Roman" w:cs="Arial"/>
                <w:kern w:val="2"/>
                <w:sz w:val="18"/>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80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Times New Roman" w:cs="Arial"/>
                <w:sz w:val="18"/>
                <w:lang w:val="en-GB" w:eastAsia="en-US" w:bidi="ar-SA"/>
              </w:rPr>
              <w:t>64QAM, 0.50</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kern w:val="2"/>
                <w:sz w:val="18"/>
                <w:lang w:val="en-US" w:eastAsia="zh-CN" w:bidi="ar-SA"/>
              </w:rPr>
            </w:pPr>
            <w:r>
              <w:rPr>
                <w:rFonts w:hint="eastAsia" w:ascii="Arial" w:hAnsi="Arial" w:cs="Arial"/>
                <w:kern w:val="2"/>
                <w:sz w:val="18"/>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90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Times New Roman" w:cs="Arial"/>
                <w:sz w:val="18"/>
                <w:lang w:val="en-GB" w:eastAsia="en-US" w:bidi="ar-SA"/>
              </w:rPr>
              <w:t>64QAM, 0.50</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kern w:val="2"/>
                <w:sz w:val="18"/>
                <w:lang w:val="en-US" w:eastAsia="zh-CN" w:bidi="ar-SA"/>
              </w:rPr>
            </w:pPr>
            <w:r>
              <w:rPr>
                <w:rFonts w:hint="eastAsia" w:ascii="Arial" w:hAnsi="Arial" w:cs="Arial"/>
                <w:kern w:val="2"/>
                <w:sz w:val="18"/>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100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Times New Roman" w:cs="Arial"/>
                <w:sz w:val="18"/>
                <w:lang w:val="en-GB" w:eastAsia="en-US" w:bidi="ar-SA"/>
              </w:rPr>
              <w:t>64QAM, 0.50</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w:t>
            </w:r>
            <w:r>
              <w:rPr>
                <w:rFonts w:hint="eastAsia" w:ascii="Arial" w:hAnsi="Arial" w:cs="Arial"/>
                <w:sz w:val="18"/>
                <w:lang w:val="en-US" w:eastAsia="zh-CN" w:bidi="ar-SA"/>
              </w:rPr>
              <w:t>C</w:t>
            </w:r>
            <w:r>
              <w:rPr>
                <w:rFonts w:ascii="Arial" w:hAnsi="Arial" w:eastAsia="宋体" w:cs="Arial"/>
                <w:sz w:val="18"/>
                <w:lang w:val="en-GB" w:eastAsia="en-US" w:bidi="ar-SA"/>
              </w:rPr>
              <w:t>3</w:t>
            </w:r>
            <w:r>
              <w:rPr>
                <w:rFonts w:hint="eastAsia" w:ascii="Arial" w:hAnsi="Arial" w:cs="Arial"/>
                <w:sz w:val="18"/>
                <w:lang w:val="en-US" w:eastAsia="zh-CN" w:bidi="ar-SA"/>
              </w:rPr>
              <w:t>0</w:t>
            </w:r>
            <w:r>
              <w:rPr>
                <w:rFonts w:ascii="Arial" w:hAnsi="Arial" w:eastAsia="宋体" w:cs="Arial"/>
                <w:sz w:val="18"/>
                <w:lang w:val="en-GB" w:eastAsia="en-US" w:bidi="ar-SA"/>
              </w:rPr>
              <w:t>0-10</w:t>
            </w:r>
            <w:r>
              <w:rPr>
                <w:rFonts w:hint="eastAsia" w:ascii="Arial" w:hAnsi="Arial" w:cs="Arial"/>
                <w:sz w:val="18"/>
                <w:lang w:val="en-US" w:eastAsia="zh-CN" w:bidi="ar-SA"/>
              </w:rPr>
              <w:t>0</w:t>
            </w:r>
          </w:p>
        </w:tc>
        <w:tc>
          <w:tcPr>
            <w:tcW w:w="1185"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Times New Roman" w:cs="Arial"/>
                <w:sz w:val="18"/>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kern w:val="2"/>
                <w:sz w:val="18"/>
                <w:lang w:val="en-US" w:eastAsia="zh-CN" w:bidi="ar-SA"/>
              </w:rPr>
            </w:pPr>
            <w:r>
              <w:rPr>
                <w:rFonts w:hint="eastAsia" w:ascii="Arial" w:hAnsi="Arial" w:cs="Arial"/>
                <w:kern w:val="2"/>
                <w:sz w:val="18"/>
                <w:lang w:val="en-US" w:eastAsia="zh-CN" w:bidi="ar-SA"/>
              </w:rPr>
              <w:t>10.7</w:t>
            </w:r>
          </w:p>
        </w:tc>
      </w:tr>
    </w:tbl>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default"/>
          <w:bCs/>
          <w:kern w:val="0"/>
          <w:szCs w:val="21"/>
          <w:lang w:val="en-US" w:eastAsia="zh-CN"/>
        </w:rPr>
      </w:pPr>
      <w:r>
        <w:rPr>
          <w:rFonts w:hint="eastAsia" w:cs="Times New Roman"/>
          <w:b w:val="0"/>
          <w:bCs w:val="0"/>
          <w:kern w:val="0"/>
          <w:sz w:val="21"/>
          <w:szCs w:val="21"/>
          <w:highlight w:val="none"/>
          <w:lang w:val="en-US" w:eastAsia="zh-CN"/>
        </w:rPr>
        <w:t>Table 2-3. Single carrier performance for FDD 15 kHz SCS with Rank 8 for CA configurations</w:t>
      </w:r>
    </w:p>
    <w:tbl>
      <w:tblPr>
        <w:tblStyle w:val="22"/>
        <w:tblW w:w="43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503"/>
        <w:gridCol w:w="1478"/>
        <w:gridCol w:w="1676"/>
        <w:gridCol w:w="1497"/>
        <w:gridCol w:w="1697"/>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78"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863"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97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874"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403" w:type="pct"/>
            <w:gridSpan w:val="2"/>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54" w:hRule="atLeast"/>
          <w:jc w:val="center"/>
        </w:trPr>
        <w:tc>
          <w:tcPr>
            <w:tcW w:w="878"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63"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97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74"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991"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411"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863"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35</w:t>
            </w:r>
          </w:p>
        </w:tc>
        <w:tc>
          <w:tcPr>
            <w:tcW w:w="86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87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eastAsia="宋体" w:cs="Times New Roman"/>
                <w:sz w:val="15"/>
                <w:szCs w:val="15"/>
                <w:lang w:val="en-US" w:eastAsia="zh-CN" w:bidi="ar-SA"/>
              </w:rPr>
              <w:t>40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50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20.5</w:t>
            </w:r>
          </w:p>
        </w:tc>
      </w:tr>
    </w:tbl>
    <w:p>
      <w:pPr>
        <w:widowControl w:val="0"/>
        <w:spacing w:beforeLines="100" w:afterLines="0" w:line="240" w:lineRule="auto"/>
        <w:jc w:val="both"/>
        <w:rPr>
          <w:rFonts w:hint="default"/>
          <w:bCs/>
          <w:kern w:val="0"/>
          <w:szCs w:val="21"/>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2-4. Single carrier performance for TDD 30 kHz SCS with Rank 8 for CA configurations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08"/>
        <w:gridCol w:w="1376"/>
        <w:gridCol w:w="1563"/>
        <w:gridCol w:w="1382"/>
        <w:gridCol w:w="1577"/>
        <w:gridCol w:w="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90"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Times New Roman"/>
                <w:b/>
                <w:sz w:val="18"/>
                <w:lang w:val="en-GB" w:eastAsia="en-US" w:bidi="ar-SA"/>
              </w:rPr>
              <w:t xml:space="preserve">Bandwidth (MHz) </w:t>
            </w:r>
          </w:p>
        </w:tc>
        <w:tc>
          <w:tcPr>
            <w:tcW w:w="870" w:type="pct"/>
            <w:vMerge w:val="restart"/>
            <w:shd w:val="clear" w:color="auto" w:fill="FFFFFF"/>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Modulation format</w:t>
            </w:r>
            <w:r>
              <w:rPr>
                <w:rFonts w:hint="eastAsia" w:ascii="Arial" w:hAnsi="Arial" w:eastAsia="Times New Roman" w:cs="Arial"/>
                <w:b/>
                <w:sz w:val="18"/>
                <w:lang w:val="en-GB" w:eastAsia="zh-CN" w:bidi="ar-SA"/>
              </w:rPr>
              <w:t xml:space="preserve"> and code rate</w:t>
            </w:r>
          </w:p>
        </w:tc>
        <w:tc>
          <w:tcPr>
            <w:tcW w:w="988"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Propagation condition</w:t>
            </w:r>
          </w:p>
        </w:tc>
        <w:tc>
          <w:tcPr>
            <w:tcW w:w="874"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Correlation matrix and antenna configuration</w:t>
            </w:r>
          </w:p>
        </w:tc>
        <w:tc>
          <w:tcPr>
            <w:tcW w:w="1376" w:type="pct"/>
            <w:gridSpan w:val="2"/>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90"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70" w:type="pct"/>
            <w:vMerge w:val="continue"/>
            <w:shd w:val="clear" w:color="auto" w:fill="FFFFFF"/>
          </w:tcPr>
          <w:p>
            <w:pPr>
              <w:keepNext/>
              <w:keepLines/>
              <w:spacing w:after="0"/>
              <w:jc w:val="center"/>
              <w:rPr>
                <w:rFonts w:ascii="Arial" w:hAnsi="Arial" w:eastAsia="Times New Roman" w:cs="Arial"/>
                <w:b/>
                <w:sz w:val="18"/>
                <w:lang w:val="en-GB" w:eastAsia="en-US" w:bidi="ar-SA"/>
              </w:rPr>
            </w:pPr>
          </w:p>
        </w:tc>
        <w:tc>
          <w:tcPr>
            <w:tcW w:w="988"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74"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997"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Fraction of maximum throughput (%)</w:t>
            </w:r>
          </w:p>
        </w:tc>
        <w:tc>
          <w:tcPr>
            <w:tcW w:w="378"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5</w:t>
            </w:r>
          </w:p>
        </w:tc>
        <w:tc>
          <w:tcPr>
            <w:tcW w:w="870" w:type="pct"/>
            <w:shd w:val="clear" w:color="auto" w:fill="FFFFFF"/>
          </w:tcPr>
          <w:p>
            <w:pPr>
              <w:keepNext/>
              <w:keepLines/>
              <w:spacing w:after="0"/>
              <w:jc w:val="center"/>
              <w:rPr>
                <w:rFonts w:ascii="Arial" w:hAnsi="Arial" w:eastAsia="Times New Roman" w:cs="Arial"/>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30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lang w:val="en-GB" w:eastAsia="en-US" w:bidi="ar-SA"/>
              </w:rPr>
              <w:t>40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50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60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US" w:eastAsia="zh-CN" w:bidi="ar-SA"/>
              </w:rPr>
              <w:t>70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宋体" w:cs="Arial"/>
                <w:kern w:val="2"/>
                <w:sz w:val="18"/>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eastAsia" w:ascii="Arial" w:hAnsi="Arial" w:eastAsia="Times New Roman" w:cs="Arial"/>
                <w:kern w:val="2"/>
                <w:sz w:val="18"/>
                <w:lang w:val="en-US" w:eastAsia="zh-CN" w:bidi="ar-SA"/>
              </w:rPr>
            </w:pPr>
            <w:r>
              <w:rPr>
                <w:rFonts w:hint="eastAsia" w:ascii="Arial" w:hAnsi="Arial" w:eastAsia="Times New Roman" w:cs="Arial"/>
                <w:sz w:val="18"/>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80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宋体" w:cs="Arial"/>
                <w:kern w:val="2"/>
                <w:sz w:val="18"/>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90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宋体" w:cs="Arial"/>
                <w:kern w:val="2"/>
                <w:sz w:val="18"/>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100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宋体" w:cs="Arial"/>
                <w:kern w:val="2"/>
                <w:sz w:val="18"/>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21.0</w:t>
            </w:r>
          </w:p>
        </w:tc>
      </w:tr>
    </w:tbl>
    <w:p>
      <w:pPr>
        <w:keepNext w:val="0"/>
        <w:keepLines w:val="0"/>
        <w:pageBreakBefore w:val="0"/>
        <w:widowControl w:val="0"/>
        <w:kinsoku/>
        <w:wordWrap/>
        <w:topLinePunct w:val="0"/>
        <w:bidi w:val="0"/>
        <w:jc w:val="both"/>
        <w:rPr>
          <w:rFonts w:hint="eastAsia" w:cs="Times New Roman"/>
          <w:b w:val="0"/>
          <w:bCs w:val="0"/>
          <w:kern w:val="0"/>
          <w:sz w:val="21"/>
          <w:szCs w:val="21"/>
          <w:highlight w:val="none"/>
          <w:lang w:val="en-US" w:eastAsia="zh-CN"/>
        </w:rPr>
      </w:pPr>
    </w:p>
    <w:p>
      <w:pPr>
        <w:widowControl w:val="0"/>
        <w:spacing w:beforeLines="100" w:afterLines="0" w:line="240" w:lineRule="auto"/>
        <w:jc w:val="left"/>
        <w:rPr>
          <w:rFonts w:hint="eastAsia"/>
          <w:b/>
          <w:bCs/>
          <w:i/>
          <w:iCs/>
          <w:sz w:val="21"/>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spacing w:beforeLines="100" w:afterLines="0" w:line="240" w:lineRule="auto"/>
        <w:jc w:val="both"/>
        <w:rPr>
          <w:rFonts w:hint="eastAsia"/>
          <w:bCs/>
          <w:kern w:val="0"/>
          <w:szCs w:val="21"/>
          <w:lang w:val="en-US" w:eastAsia="zh-CN"/>
        </w:rPr>
      </w:pPr>
      <w:r>
        <w:rPr>
          <w:kern w:val="0"/>
          <w:sz w:val="20"/>
        </w:rPr>
        <w:t xml:space="preserve">In this contribution, </w:t>
      </w:r>
      <w:r>
        <w:rPr>
          <w:rFonts w:hint="eastAsia"/>
          <w:bCs/>
          <w:kern w:val="0"/>
          <w:szCs w:val="21"/>
        </w:rPr>
        <w:t xml:space="preserve">we provide our simulation results for </w:t>
      </w:r>
      <w:r>
        <w:rPr>
          <w:rFonts w:hint="eastAsia"/>
          <w:bCs/>
          <w:kern w:val="0"/>
          <w:szCs w:val="21"/>
          <w:lang w:val="en-US" w:eastAsia="zh-CN"/>
        </w:rPr>
        <w:t>FR1 PDSCH 8Rx .</w:t>
      </w:r>
    </w:p>
    <w:p>
      <w:pPr>
        <w:widowControl w:val="0"/>
        <w:spacing w:beforeLines="100" w:afterLines="0" w:line="240" w:lineRule="auto"/>
        <w:jc w:val="both"/>
        <w:rPr>
          <w:rFonts w:hint="default"/>
          <w:bCs/>
          <w:kern w:val="0"/>
          <w:szCs w:val="21"/>
          <w:lang w:val="en-US" w:eastAsia="zh-CN"/>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3"/>
        <w:numPr>
          <w:ilvl w:val="0"/>
          <w:numId w:val="7"/>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val="en-US" w:eastAsia="zh-CN"/>
        </w:rPr>
      </w:pPr>
      <w:r>
        <w:rPr>
          <w:rFonts w:hint="eastAsia" w:ascii="Times New Roman" w:hAnsi="Times New Roman" w:eastAsiaTheme="minorHAnsi" w:cstheme="minorBidi"/>
          <w:kern w:val="0"/>
          <w:sz w:val="21"/>
          <w:szCs w:val="21"/>
          <w:lang w:eastAsia="en-US"/>
        </w:rPr>
        <w:t>R4-2316914, WF for 8Rx and 4Tx performance requirements. RAN4#108bis meeting.</w:t>
      </w:r>
    </w:p>
    <w:p>
      <w:pPr>
        <w:pStyle w:val="33"/>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A5574"/>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2AD3"/>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026E3F"/>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31479"/>
    <w:rsid w:val="03445E8F"/>
    <w:rsid w:val="034D103F"/>
    <w:rsid w:val="035154D3"/>
    <w:rsid w:val="03527C38"/>
    <w:rsid w:val="035402E6"/>
    <w:rsid w:val="03561517"/>
    <w:rsid w:val="035672C1"/>
    <w:rsid w:val="0356746F"/>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03010"/>
    <w:rsid w:val="044C78D8"/>
    <w:rsid w:val="04537B11"/>
    <w:rsid w:val="04684A28"/>
    <w:rsid w:val="0476348C"/>
    <w:rsid w:val="04782230"/>
    <w:rsid w:val="0479507E"/>
    <w:rsid w:val="0482174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42C12"/>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E96846"/>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9FF7E3D"/>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ED77A5"/>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0E500D"/>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1E5D62"/>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7369D"/>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B6E6E"/>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3E675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009D7"/>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297756"/>
    <w:rsid w:val="193275C2"/>
    <w:rsid w:val="19394FD2"/>
    <w:rsid w:val="195F3A6C"/>
    <w:rsid w:val="19663168"/>
    <w:rsid w:val="19786B0A"/>
    <w:rsid w:val="199A2059"/>
    <w:rsid w:val="19AD210B"/>
    <w:rsid w:val="19AD5184"/>
    <w:rsid w:val="19B46E10"/>
    <w:rsid w:val="19C456C1"/>
    <w:rsid w:val="19D75435"/>
    <w:rsid w:val="19DD71E7"/>
    <w:rsid w:val="19F061A1"/>
    <w:rsid w:val="1A054259"/>
    <w:rsid w:val="1A081816"/>
    <w:rsid w:val="1A165171"/>
    <w:rsid w:val="1A4858FF"/>
    <w:rsid w:val="1A4A7DEF"/>
    <w:rsid w:val="1A4C698A"/>
    <w:rsid w:val="1A5E4B5A"/>
    <w:rsid w:val="1A612F84"/>
    <w:rsid w:val="1A672B1C"/>
    <w:rsid w:val="1A826DFA"/>
    <w:rsid w:val="1A8301C0"/>
    <w:rsid w:val="1A872248"/>
    <w:rsid w:val="1A9B2279"/>
    <w:rsid w:val="1A9E6232"/>
    <w:rsid w:val="1AA74D3D"/>
    <w:rsid w:val="1AB34DB4"/>
    <w:rsid w:val="1AB613FD"/>
    <w:rsid w:val="1ACF5EB8"/>
    <w:rsid w:val="1AD26086"/>
    <w:rsid w:val="1AE013F8"/>
    <w:rsid w:val="1AE8570C"/>
    <w:rsid w:val="1AFB06A3"/>
    <w:rsid w:val="1B02089E"/>
    <w:rsid w:val="1B0F19AE"/>
    <w:rsid w:val="1B2160BB"/>
    <w:rsid w:val="1B3637AD"/>
    <w:rsid w:val="1B3E0DB5"/>
    <w:rsid w:val="1B42589C"/>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043D3"/>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075FA"/>
    <w:rsid w:val="1CF1420C"/>
    <w:rsid w:val="1D037029"/>
    <w:rsid w:val="1D1E6C5D"/>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EFB49EA"/>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AD7399"/>
    <w:rsid w:val="20BF2AAC"/>
    <w:rsid w:val="20C849C7"/>
    <w:rsid w:val="20DF66D2"/>
    <w:rsid w:val="20EC3F2E"/>
    <w:rsid w:val="20EC7C3E"/>
    <w:rsid w:val="21050673"/>
    <w:rsid w:val="210548E9"/>
    <w:rsid w:val="21124D15"/>
    <w:rsid w:val="213E7119"/>
    <w:rsid w:val="21521454"/>
    <w:rsid w:val="216F5067"/>
    <w:rsid w:val="21810744"/>
    <w:rsid w:val="218D6EF5"/>
    <w:rsid w:val="2195668B"/>
    <w:rsid w:val="21A130EA"/>
    <w:rsid w:val="21AD1197"/>
    <w:rsid w:val="21C267BF"/>
    <w:rsid w:val="21CB70A9"/>
    <w:rsid w:val="21CD6BCD"/>
    <w:rsid w:val="21CE6067"/>
    <w:rsid w:val="21CF439A"/>
    <w:rsid w:val="21D35770"/>
    <w:rsid w:val="21F00127"/>
    <w:rsid w:val="22045B97"/>
    <w:rsid w:val="22120B8F"/>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15DCE"/>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0C5B30"/>
    <w:rsid w:val="241B5C62"/>
    <w:rsid w:val="241D4660"/>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3071E"/>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41B88"/>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A390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0E4590"/>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76F5A"/>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C020E1"/>
    <w:rsid w:val="33FE62E7"/>
    <w:rsid w:val="340D25F6"/>
    <w:rsid w:val="340F5E5C"/>
    <w:rsid w:val="342B76C7"/>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83004"/>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0C5C"/>
    <w:rsid w:val="380D7E8A"/>
    <w:rsid w:val="382B1BDF"/>
    <w:rsid w:val="382E392C"/>
    <w:rsid w:val="38342E90"/>
    <w:rsid w:val="38366E1A"/>
    <w:rsid w:val="384A24FB"/>
    <w:rsid w:val="384B7332"/>
    <w:rsid w:val="385056AF"/>
    <w:rsid w:val="38706DCB"/>
    <w:rsid w:val="388E5848"/>
    <w:rsid w:val="389A159F"/>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A27492"/>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5D15F6"/>
    <w:rsid w:val="3C6B7D5C"/>
    <w:rsid w:val="3C734413"/>
    <w:rsid w:val="3C8556C4"/>
    <w:rsid w:val="3C982C18"/>
    <w:rsid w:val="3CA734F8"/>
    <w:rsid w:val="3CC74223"/>
    <w:rsid w:val="3CC828D0"/>
    <w:rsid w:val="3CDB5F96"/>
    <w:rsid w:val="3CE23F49"/>
    <w:rsid w:val="3CEB5A90"/>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57C36"/>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A06F39"/>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20971"/>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78211F"/>
    <w:rsid w:val="41A35744"/>
    <w:rsid w:val="41A65F04"/>
    <w:rsid w:val="41D75714"/>
    <w:rsid w:val="41DD3BC3"/>
    <w:rsid w:val="41DD7574"/>
    <w:rsid w:val="41EE2F03"/>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65389"/>
    <w:rsid w:val="42DE48A3"/>
    <w:rsid w:val="42E16058"/>
    <w:rsid w:val="42F17BF5"/>
    <w:rsid w:val="42F87EC9"/>
    <w:rsid w:val="42FA45BF"/>
    <w:rsid w:val="430E7E66"/>
    <w:rsid w:val="4332317A"/>
    <w:rsid w:val="433F6B54"/>
    <w:rsid w:val="4346543A"/>
    <w:rsid w:val="43494007"/>
    <w:rsid w:val="435B1259"/>
    <w:rsid w:val="436263D5"/>
    <w:rsid w:val="437556C4"/>
    <w:rsid w:val="43874CD4"/>
    <w:rsid w:val="439D51EA"/>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93C83"/>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05CC"/>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2829D0"/>
    <w:rsid w:val="463246EC"/>
    <w:rsid w:val="463A3547"/>
    <w:rsid w:val="464E25C4"/>
    <w:rsid w:val="46555DC3"/>
    <w:rsid w:val="46617DB2"/>
    <w:rsid w:val="46621065"/>
    <w:rsid w:val="46665198"/>
    <w:rsid w:val="46697236"/>
    <w:rsid w:val="467448D4"/>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AA6C7C"/>
    <w:rsid w:val="47C01792"/>
    <w:rsid w:val="47C1767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3536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381794"/>
    <w:rsid w:val="4A5A756D"/>
    <w:rsid w:val="4A5C0807"/>
    <w:rsid w:val="4A785772"/>
    <w:rsid w:val="4A89105B"/>
    <w:rsid w:val="4AA341CC"/>
    <w:rsid w:val="4AB94963"/>
    <w:rsid w:val="4AC13295"/>
    <w:rsid w:val="4AC31003"/>
    <w:rsid w:val="4AC40F4C"/>
    <w:rsid w:val="4AD25F33"/>
    <w:rsid w:val="4AD41685"/>
    <w:rsid w:val="4AE072CB"/>
    <w:rsid w:val="4AE93159"/>
    <w:rsid w:val="4AF02EA1"/>
    <w:rsid w:val="4B174032"/>
    <w:rsid w:val="4B250CF8"/>
    <w:rsid w:val="4B3E7ACE"/>
    <w:rsid w:val="4B523D1F"/>
    <w:rsid w:val="4B57342A"/>
    <w:rsid w:val="4B7C4100"/>
    <w:rsid w:val="4B830F9B"/>
    <w:rsid w:val="4B8A25CC"/>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81419F"/>
    <w:rsid w:val="4C923A72"/>
    <w:rsid w:val="4C9E2807"/>
    <w:rsid w:val="4CB96B0F"/>
    <w:rsid w:val="4CC03E60"/>
    <w:rsid w:val="4CC42739"/>
    <w:rsid w:val="4CD315DD"/>
    <w:rsid w:val="4CDB409A"/>
    <w:rsid w:val="4CE34E9F"/>
    <w:rsid w:val="4CED698D"/>
    <w:rsid w:val="4CF52D94"/>
    <w:rsid w:val="4D43301D"/>
    <w:rsid w:val="4D462159"/>
    <w:rsid w:val="4D566017"/>
    <w:rsid w:val="4D7814A6"/>
    <w:rsid w:val="4D7D3EFB"/>
    <w:rsid w:val="4D8B0123"/>
    <w:rsid w:val="4DAF14C5"/>
    <w:rsid w:val="4DB9067A"/>
    <w:rsid w:val="4DC605B6"/>
    <w:rsid w:val="4DC715BA"/>
    <w:rsid w:val="4DD129F2"/>
    <w:rsid w:val="4DD732D2"/>
    <w:rsid w:val="4DDD4847"/>
    <w:rsid w:val="4DEC0985"/>
    <w:rsid w:val="4E015422"/>
    <w:rsid w:val="4E0538A3"/>
    <w:rsid w:val="4E0B2BF7"/>
    <w:rsid w:val="4E0E6818"/>
    <w:rsid w:val="4E156322"/>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A2FB1"/>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15164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A0269"/>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A5F78"/>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63649A"/>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E7433"/>
    <w:rsid w:val="594079B2"/>
    <w:rsid w:val="594A13D7"/>
    <w:rsid w:val="595346FA"/>
    <w:rsid w:val="5987482A"/>
    <w:rsid w:val="599C49A8"/>
    <w:rsid w:val="59A36725"/>
    <w:rsid w:val="59B21BF9"/>
    <w:rsid w:val="59BB4EA3"/>
    <w:rsid w:val="59CF0866"/>
    <w:rsid w:val="59E9525B"/>
    <w:rsid w:val="5A3C0F08"/>
    <w:rsid w:val="5A3E5B83"/>
    <w:rsid w:val="5A45246A"/>
    <w:rsid w:val="5A5663A3"/>
    <w:rsid w:val="5A571746"/>
    <w:rsid w:val="5A6253E3"/>
    <w:rsid w:val="5A8E6670"/>
    <w:rsid w:val="5A912613"/>
    <w:rsid w:val="5A9245E9"/>
    <w:rsid w:val="5A953D41"/>
    <w:rsid w:val="5AAC6EDC"/>
    <w:rsid w:val="5ABC50F4"/>
    <w:rsid w:val="5ACC4940"/>
    <w:rsid w:val="5AD86A6D"/>
    <w:rsid w:val="5AEC14F6"/>
    <w:rsid w:val="5AEC4B1F"/>
    <w:rsid w:val="5AF124A4"/>
    <w:rsid w:val="5AF55D01"/>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03635"/>
    <w:rsid w:val="5BD32E77"/>
    <w:rsid w:val="5BE56907"/>
    <w:rsid w:val="5BEB0120"/>
    <w:rsid w:val="5BF420D1"/>
    <w:rsid w:val="5C097C4E"/>
    <w:rsid w:val="5C0B27C3"/>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215592"/>
    <w:rsid w:val="61421EFD"/>
    <w:rsid w:val="61594004"/>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E084E"/>
    <w:rsid w:val="63EF1ECE"/>
    <w:rsid w:val="63F47D2A"/>
    <w:rsid w:val="63FE2D33"/>
    <w:rsid w:val="64013242"/>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56C47"/>
    <w:rsid w:val="65B8262E"/>
    <w:rsid w:val="65BC15EE"/>
    <w:rsid w:val="65C74F5E"/>
    <w:rsid w:val="65D23D59"/>
    <w:rsid w:val="65D4773F"/>
    <w:rsid w:val="65D74D0A"/>
    <w:rsid w:val="65D82630"/>
    <w:rsid w:val="65DC5939"/>
    <w:rsid w:val="65DC7985"/>
    <w:rsid w:val="65F14641"/>
    <w:rsid w:val="65F5655C"/>
    <w:rsid w:val="65FF006B"/>
    <w:rsid w:val="66052F43"/>
    <w:rsid w:val="6609487E"/>
    <w:rsid w:val="660B75BD"/>
    <w:rsid w:val="6614592F"/>
    <w:rsid w:val="661D25CE"/>
    <w:rsid w:val="66206CF2"/>
    <w:rsid w:val="66265846"/>
    <w:rsid w:val="66287C9C"/>
    <w:rsid w:val="664805B8"/>
    <w:rsid w:val="665654C1"/>
    <w:rsid w:val="665B55EA"/>
    <w:rsid w:val="665B5C67"/>
    <w:rsid w:val="66655F85"/>
    <w:rsid w:val="666C72DD"/>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4F5ED5"/>
    <w:rsid w:val="695D6B21"/>
    <w:rsid w:val="69611EE7"/>
    <w:rsid w:val="696C708E"/>
    <w:rsid w:val="696F4D5D"/>
    <w:rsid w:val="69850854"/>
    <w:rsid w:val="69850877"/>
    <w:rsid w:val="698C13C5"/>
    <w:rsid w:val="698D049E"/>
    <w:rsid w:val="69AE1F57"/>
    <w:rsid w:val="69CC637E"/>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45610F"/>
    <w:rsid w:val="6C547243"/>
    <w:rsid w:val="6C59472D"/>
    <w:rsid w:val="6C5A4564"/>
    <w:rsid w:val="6C603744"/>
    <w:rsid w:val="6C637CCF"/>
    <w:rsid w:val="6C7802EB"/>
    <w:rsid w:val="6C79488C"/>
    <w:rsid w:val="6C89456C"/>
    <w:rsid w:val="6CA20D5B"/>
    <w:rsid w:val="6CA41AC3"/>
    <w:rsid w:val="6CA96D87"/>
    <w:rsid w:val="6CC14E69"/>
    <w:rsid w:val="6CD63FB3"/>
    <w:rsid w:val="6D056EA6"/>
    <w:rsid w:val="6D111038"/>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24DC5"/>
    <w:rsid w:val="6E635028"/>
    <w:rsid w:val="6E636A71"/>
    <w:rsid w:val="6E685B0A"/>
    <w:rsid w:val="6E695F11"/>
    <w:rsid w:val="6E73404A"/>
    <w:rsid w:val="6E7355AA"/>
    <w:rsid w:val="6E920B5B"/>
    <w:rsid w:val="6E990B16"/>
    <w:rsid w:val="6EB169D3"/>
    <w:rsid w:val="6EB73361"/>
    <w:rsid w:val="6EB829B1"/>
    <w:rsid w:val="6EB978A9"/>
    <w:rsid w:val="6ECC3A24"/>
    <w:rsid w:val="6ED86D3E"/>
    <w:rsid w:val="6EDB0E5D"/>
    <w:rsid w:val="6EDB7D9E"/>
    <w:rsid w:val="6EE9744F"/>
    <w:rsid w:val="6EEC3F7C"/>
    <w:rsid w:val="6EFA7855"/>
    <w:rsid w:val="6EFE1485"/>
    <w:rsid w:val="6F031F8E"/>
    <w:rsid w:val="6F0D382C"/>
    <w:rsid w:val="6F234FBA"/>
    <w:rsid w:val="6F2632E8"/>
    <w:rsid w:val="6F30363A"/>
    <w:rsid w:val="6F3316E5"/>
    <w:rsid w:val="6F3F365F"/>
    <w:rsid w:val="6F3F40F9"/>
    <w:rsid w:val="6F40695C"/>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07071"/>
    <w:rsid w:val="71015D6B"/>
    <w:rsid w:val="71151975"/>
    <w:rsid w:val="71336A65"/>
    <w:rsid w:val="71486F62"/>
    <w:rsid w:val="71511268"/>
    <w:rsid w:val="71545B37"/>
    <w:rsid w:val="71573E01"/>
    <w:rsid w:val="71702748"/>
    <w:rsid w:val="717F0007"/>
    <w:rsid w:val="71867894"/>
    <w:rsid w:val="719F7A78"/>
    <w:rsid w:val="71C7540C"/>
    <w:rsid w:val="71F64A63"/>
    <w:rsid w:val="71F870B8"/>
    <w:rsid w:val="72021233"/>
    <w:rsid w:val="720B2A1D"/>
    <w:rsid w:val="72174817"/>
    <w:rsid w:val="723D0AFC"/>
    <w:rsid w:val="723D50E9"/>
    <w:rsid w:val="727C422C"/>
    <w:rsid w:val="7290742F"/>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D0C29"/>
    <w:rsid w:val="73161882"/>
    <w:rsid w:val="732C334F"/>
    <w:rsid w:val="734F0C79"/>
    <w:rsid w:val="734F4185"/>
    <w:rsid w:val="73520620"/>
    <w:rsid w:val="7363274A"/>
    <w:rsid w:val="73691A4A"/>
    <w:rsid w:val="737807F3"/>
    <w:rsid w:val="738A6895"/>
    <w:rsid w:val="73B4197F"/>
    <w:rsid w:val="73BC7089"/>
    <w:rsid w:val="73BE7067"/>
    <w:rsid w:val="73E52294"/>
    <w:rsid w:val="73F81437"/>
    <w:rsid w:val="73FF2D64"/>
    <w:rsid w:val="74137154"/>
    <w:rsid w:val="74236DD6"/>
    <w:rsid w:val="74257F79"/>
    <w:rsid w:val="74273820"/>
    <w:rsid w:val="7427471C"/>
    <w:rsid w:val="74355B0B"/>
    <w:rsid w:val="743C7157"/>
    <w:rsid w:val="74416F54"/>
    <w:rsid w:val="744B354F"/>
    <w:rsid w:val="7450294E"/>
    <w:rsid w:val="745A5543"/>
    <w:rsid w:val="74677EB2"/>
    <w:rsid w:val="746B732F"/>
    <w:rsid w:val="746E18CB"/>
    <w:rsid w:val="7476451A"/>
    <w:rsid w:val="748D52FA"/>
    <w:rsid w:val="748F1701"/>
    <w:rsid w:val="74993216"/>
    <w:rsid w:val="74B44784"/>
    <w:rsid w:val="74B808BF"/>
    <w:rsid w:val="74E06625"/>
    <w:rsid w:val="75084E8F"/>
    <w:rsid w:val="75202656"/>
    <w:rsid w:val="75752B04"/>
    <w:rsid w:val="75783839"/>
    <w:rsid w:val="758910BB"/>
    <w:rsid w:val="75955DA9"/>
    <w:rsid w:val="75977910"/>
    <w:rsid w:val="759F2A35"/>
    <w:rsid w:val="75A13B4C"/>
    <w:rsid w:val="75A439C2"/>
    <w:rsid w:val="75B15C41"/>
    <w:rsid w:val="75CD3EFF"/>
    <w:rsid w:val="75D12923"/>
    <w:rsid w:val="75EA364B"/>
    <w:rsid w:val="75F20996"/>
    <w:rsid w:val="75F96973"/>
    <w:rsid w:val="76032682"/>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D24FEF"/>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93C36"/>
    <w:rsid w:val="77BC06A8"/>
    <w:rsid w:val="77BC5DCB"/>
    <w:rsid w:val="77BE5ECB"/>
    <w:rsid w:val="77C078B1"/>
    <w:rsid w:val="77E66E3C"/>
    <w:rsid w:val="77F3789A"/>
    <w:rsid w:val="780326B9"/>
    <w:rsid w:val="781F59B5"/>
    <w:rsid w:val="7833711D"/>
    <w:rsid w:val="78497C2E"/>
    <w:rsid w:val="7854087B"/>
    <w:rsid w:val="785D2223"/>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4B6CBA"/>
    <w:rsid w:val="7964574A"/>
    <w:rsid w:val="797B5DA5"/>
    <w:rsid w:val="79941CF2"/>
    <w:rsid w:val="79973382"/>
    <w:rsid w:val="79D143EB"/>
    <w:rsid w:val="79D33056"/>
    <w:rsid w:val="79D82BB5"/>
    <w:rsid w:val="79EC0256"/>
    <w:rsid w:val="79F60153"/>
    <w:rsid w:val="79FB6E2C"/>
    <w:rsid w:val="7A000A00"/>
    <w:rsid w:val="7A0C4750"/>
    <w:rsid w:val="7A4C2D60"/>
    <w:rsid w:val="7A6B44EA"/>
    <w:rsid w:val="7A6D61A5"/>
    <w:rsid w:val="7A6E4BF5"/>
    <w:rsid w:val="7A721EC3"/>
    <w:rsid w:val="7A851D5D"/>
    <w:rsid w:val="7A8A2267"/>
    <w:rsid w:val="7AB42B91"/>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8F34EA"/>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DF0AD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table" w:customStyle="1" w:styleId="76">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36</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2023-11-03T08:48:20Z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1A12C3FF192048BCB300D72194ABBC59</vt:lpwstr>
  </property>
</Properties>
</file>